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F97" w:rsidRPr="00147F97" w:rsidRDefault="00147F97" w:rsidP="00147F9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b/>
          <w:bCs/>
          <w:i/>
          <w:color w:val="7A7A7A"/>
          <w:sz w:val="26"/>
          <w:szCs w:val="26"/>
        </w:rPr>
        <w:t>Avertizori</w:t>
      </w:r>
      <w:proofErr w:type="spellEnd"/>
      <w:r w:rsidRPr="00147F97">
        <w:rPr>
          <w:rFonts w:ascii="Arial" w:eastAsia="Times New Roman" w:hAnsi="Arial" w:cs="Arial"/>
          <w:b/>
          <w:bCs/>
          <w:i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b/>
          <w:bCs/>
          <w:i/>
          <w:color w:val="7A7A7A"/>
          <w:sz w:val="26"/>
          <w:szCs w:val="26"/>
        </w:rPr>
        <w:t>în</w:t>
      </w:r>
      <w:proofErr w:type="spellEnd"/>
      <w:r w:rsidRPr="00147F97">
        <w:rPr>
          <w:rFonts w:ascii="Arial" w:eastAsia="Times New Roman" w:hAnsi="Arial" w:cs="Arial"/>
          <w:b/>
          <w:bCs/>
          <w:i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b/>
          <w:bCs/>
          <w:i/>
          <w:color w:val="7A7A7A"/>
          <w:sz w:val="26"/>
          <w:szCs w:val="26"/>
        </w:rPr>
        <w:t>interes</w:t>
      </w:r>
      <w:proofErr w:type="spellEnd"/>
      <w:r w:rsidRPr="00147F97">
        <w:rPr>
          <w:rFonts w:ascii="Arial" w:eastAsia="Times New Roman" w:hAnsi="Arial" w:cs="Arial"/>
          <w:b/>
          <w:bCs/>
          <w:i/>
          <w:color w:val="7A7A7A"/>
          <w:sz w:val="26"/>
          <w:szCs w:val="26"/>
        </w:rPr>
        <w:t xml:space="preserve"> public</w:t>
      </w:r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 (Art. 3, pct. 7 din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Legea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nr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. 361/2022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privind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protecția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avertizorilor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interes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public)</w:t>
      </w:r>
    </w:p>
    <w:p w:rsidR="00147F97" w:rsidRPr="00147F97" w:rsidRDefault="00147F97" w:rsidP="00147F9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Avertizorul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interes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public </w:t>
      </w:r>
      <w:proofErr w:type="spellStart"/>
      <w:proofErr w:type="gram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este</w:t>
      </w:r>
      <w:proofErr w:type="spellEnd"/>
      <w:proofErr w:type="gram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o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persoană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fizică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care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efectuează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o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raportare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sau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divulgă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public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informații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referitoare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la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încălcări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ale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legii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obținute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context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profesional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.</w:t>
      </w:r>
    </w:p>
    <w:p w:rsidR="00147F97" w:rsidRPr="00147F97" w:rsidRDefault="00147F97" w:rsidP="00147F9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>Încălcări</w:t>
      </w:r>
      <w:proofErr w:type="spellEnd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 xml:space="preserve"> ale </w:t>
      </w:r>
      <w:proofErr w:type="spellStart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>legii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 (Art. 3, pct. 1 din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Legea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361/2022)</w:t>
      </w:r>
      <w:bookmarkStart w:id="0" w:name="_GoBack"/>
      <w:bookmarkEnd w:id="0"/>
    </w:p>
    <w:p w:rsidR="00147F97" w:rsidRPr="00147F97" w:rsidRDefault="00147F97" w:rsidP="00147F9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Reprezintă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fapte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care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constau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într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-o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acțiune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sau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inacțiune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care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constituie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nerespectări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ale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dispozițiilor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legale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care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privesc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domenii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cum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ar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fi:</w:t>
      </w:r>
    </w:p>
    <w:p w:rsidR="00147F97" w:rsidRPr="00147F97" w:rsidRDefault="00147F97" w:rsidP="00147F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achizițiile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publice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;</w:t>
      </w:r>
    </w:p>
    <w:p w:rsidR="00147F97" w:rsidRPr="00147F97" w:rsidRDefault="00147F97" w:rsidP="00147F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serviciile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produsele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și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piețele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financiare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precum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și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prevenirea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spălării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banilor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și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a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finanțării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terorismului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;</w:t>
      </w:r>
    </w:p>
    <w:p w:rsidR="00147F97" w:rsidRPr="00147F97" w:rsidRDefault="00147F97" w:rsidP="00147F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siguranța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și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conformitatea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produselor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;</w:t>
      </w:r>
    </w:p>
    <w:p w:rsidR="00147F97" w:rsidRPr="00147F97" w:rsidRDefault="00147F97" w:rsidP="00147F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siguranța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transportului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;</w:t>
      </w:r>
    </w:p>
    <w:p w:rsidR="00147F97" w:rsidRPr="00147F97" w:rsidRDefault="00147F97" w:rsidP="00147F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protecția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mediului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;</w:t>
      </w:r>
    </w:p>
    <w:p w:rsidR="00147F97" w:rsidRPr="00147F97" w:rsidRDefault="00147F97" w:rsidP="00147F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protecția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radiologică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și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siguranță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nucleară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;</w:t>
      </w:r>
    </w:p>
    <w:p w:rsidR="00147F97" w:rsidRPr="00147F97" w:rsidRDefault="00147F97" w:rsidP="00147F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siguranța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alimentelor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și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a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hranei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pentru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animale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sănătatea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şi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bunăstarea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animalelor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;</w:t>
      </w:r>
    </w:p>
    <w:p w:rsidR="00147F97" w:rsidRPr="00147F97" w:rsidRDefault="00147F97" w:rsidP="00147F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sănătatea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publică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;</w:t>
      </w:r>
    </w:p>
    <w:p w:rsidR="00147F97" w:rsidRPr="00147F97" w:rsidRDefault="00147F97" w:rsidP="00147F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protecția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consumatorilor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;</w:t>
      </w:r>
    </w:p>
    <w:p w:rsidR="00147F97" w:rsidRPr="00147F97" w:rsidRDefault="00147F97" w:rsidP="00147F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protecția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vieții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private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și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a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datelor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cu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caracter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personal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și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a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securității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rețelelor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și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sistemelor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informatice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;</w:t>
      </w:r>
    </w:p>
    <w:p w:rsidR="00147F97" w:rsidRPr="00147F97" w:rsidRDefault="00147F97" w:rsidP="00147F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proofErr w:type="gram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încălcări</w:t>
      </w:r>
      <w:proofErr w:type="spellEnd"/>
      <w:proofErr w:type="gram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care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aduc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atingere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intereselor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financiare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ale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Uniunii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Europene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astfel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cum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sunt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menționate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la art. 325 din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Tratatul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privind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funcționarea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Uniunii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Europene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și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cum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sunt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detaliate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măsurile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relevante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ale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Uniunii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Europene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;</w:t>
      </w:r>
    </w:p>
    <w:p w:rsidR="00147F97" w:rsidRPr="00147F97" w:rsidRDefault="00147F97" w:rsidP="00147F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proofErr w:type="gram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încălcări</w:t>
      </w:r>
      <w:proofErr w:type="spellEnd"/>
      <w:proofErr w:type="gram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referitoare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la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piața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internă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menționate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la art. </w:t>
      </w:r>
      <w:proofErr w:type="gram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26</w:t>
      </w:r>
      <w:proofErr w:type="gram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alin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. </w:t>
      </w:r>
      <w:proofErr w:type="gramStart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(2) din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Tratatul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privind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funcționarea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Uniunii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Europene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inclusiv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încălcări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ale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normelor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Uniunii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Europene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materie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de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concurență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și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de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ajutoare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de stat,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precum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și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încălcări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referitoare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la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piața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internă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ceea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privește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actele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care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încalcă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normele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privind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impozitarea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societăților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sau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mecanismele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al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căror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scop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este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obținerea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unui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avantaj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fiscal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contravine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obiectului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sau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scopului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dreptului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aplicabil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materie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de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impozitare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a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societăților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reprezintă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abateri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disciplinare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contravenții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sau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infracțiuni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sau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care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contravin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obiectului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sau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scopului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legii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.</w:t>
      </w:r>
      <w:proofErr w:type="gramEnd"/>
    </w:p>
    <w:p w:rsidR="00147F97" w:rsidRPr="00147F97" w:rsidRDefault="00147F97" w:rsidP="00147F9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7A7A7A"/>
          <w:sz w:val="26"/>
          <w:szCs w:val="26"/>
        </w:rPr>
      </w:pPr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 xml:space="preserve">Context </w:t>
      </w:r>
      <w:proofErr w:type="spellStart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>profesional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 (Art. 3, pct. 9 din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Legea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361/2022)</w:t>
      </w:r>
    </w:p>
    <w:p w:rsidR="00147F97" w:rsidRPr="00147F97" w:rsidRDefault="00147F97" w:rsidP="00147F9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lastRenderedPageBreak/>
        <w:t>Activități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profesionale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actuale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sau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anterioare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de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orice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natura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remunerate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sau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nu,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desfășurate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in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cadrul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autorităților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instituțiilor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publice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altor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persoane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juridice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de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drept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public,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precum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și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cadrul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persoanelor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juridice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de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drept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privat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baza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cărora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persoanele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pot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obține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informații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referitoare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la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încălcări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ale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legii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pot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suferi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represalii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in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caz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de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raportare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gram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</w:t>
      </w:r>
      <w:proofErr w:type="gram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acestora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.</w:t>
      </w:r>
    </w:p>
    <w:p w:rsidR="00147F97" w:rsidRPr="00147F97" w:rsidRDefault="00147F97" w:rsidP="00147F9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>Conținutul</w:t>
      </w:r>
      <w:proofErr w:type="spellEnd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>raportării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 (Art. 6 din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Legea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361/2022)</w:t>
      </w:r>
    </w:p>
    <w:p w:rsidR="00147F97" w:rsidRPr="00147F97" w:rsidRDefault="00147F97" w:rsidP="00147F9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Raportarea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proofErr w:type="gram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va</w:t>
      </w:r>
      <w:proofErr w:type="spellEnd"/>
      <w:proofErr w:type="gram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cuprinde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cel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puțin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următoarele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:</w:t>
      </w:r>
    </w:p>
    <w:p w:rsidR="00147F97" w:rsidRPr="00147F97" w:rsidRDefault="00147F97" w:rsidP="00147F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numele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și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prenumele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;</w:t>
      </w:r>
    </w:p>
    <w:p w:rsidR="00147F97" w:rsidRPr="00147F97" w:rsidRDefault="00147F97" w:rsidP="00147F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datele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de contact ale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avertizorului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interes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public;</w:t>
      </w:r>
    </w:p>
    <w:p w:rsidR="00147F97" w:rsidRPr="00147F97" w:rsidRDefault="00147F97" w:rsidP="00147F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contextul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profesional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care au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fost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obținute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informațiile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;</w:t>
      </w:r>
    </w:p>
    <w:p w:rsidR="00147F97" w:rsidRPr="00147F97" w:rsidRDefault="00147F97" w:rsidP="00147F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persoana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vizată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dacă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este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cunoscută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;</w:t>
      </w:r>
    </w:p>
    <w:p w:rsidR="00147F97" w:rsidRPr="00147F97" w:rsidRDefault="00147F97" w:rsidP="00147F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descrierea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faptei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susceptibile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constituie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încălcare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a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legii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cadrul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unei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autorități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instituții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publice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oricărei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alte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persoane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juridice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de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drept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public,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precum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și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cadrul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persoanei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juridice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de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drept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privat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;</w:t>
      </w:r>
    </w:p>
    <w:p w:rsidR="00147F97" w:rsidRPr="00147F97" w:rsidRDefault="00147F97" w:rsidP="00147F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probele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susținerea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raportării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după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caz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;</w:t>
      </w:r>
    </w:p>
    <w:p w:rsidR="00147F97" w:rsidRPr="00147F97" w:rsidRDefault="00147F97" w:rsidP="00147F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6"/>
          <w:szCs w:val="26"/>
        </w:rPr>
      </w:pPr>
      <w:r w:rsidRPr="00147F97">
        <w:rPr>
          <w:rFonts w:ascii="Arial" w:eastAsia="Times New Roman" w:hAnsi="Arial" w:cs="Arial"/>
          <w:color w:val="7A7A7A"/>
          <w:sz w:val="26"/>
          <w:szCs w:val="26"/>
        </w:rPr>
        <w:t>data;</w:t>
      </w:r>
    </w:p>
    <w:p w:rsidR="00147F97" w:rsidRPr="00147F97" w:rsidRDefault="00147F97" w:rsidP="00147F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proofErr w:type="gram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semnătura</w:t>
      </w:r>
      <w:proofErr w:type="spellEnd"/>
      <w:proofErr w:type="gram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după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caz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.</w:t>
      </w:r>
    </w:p>
    <w:p w:rsidR="00147F97" w:rsidRPr="00147F97" w:rsidRDefault="00147F97" w:rsidP="00147F9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>Canale</w:t>
      </w:r>
      <w:proofErr w:type="spellEnd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 xml:space="preserve"> de </w:t>
      </w:r>
      <w:proofErr w:type="spellStart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>raportare</w:t>
      </w:r>
      <w:proofErr w:type="spellEnd"/>
    </w:p>
    <w:p w:rsidR="00147F97" w:rsidRPr="00147F97" w:rsidRDefault="00147F97" w:rsidP="00147F9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>Raportarea</w:t>
      </w:r>
      <w:proofErr w:type="spellEnd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>internă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 (Cap III din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Legea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361/2022)</w:t>
      </w:r>
    </w:p>
    <w:p w:rsidR="00147F97" w:rsidRPr="00147F97" w:rsidRDefault="00147F97" w:rsidP="00147F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>În</w:t>
      </w:r>
      <w:proofErr w:type="spellEnd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>scris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 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suport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de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hârtie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prin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depunerea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sesizării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la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Registratura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sau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transmiterea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sesizării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prin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serviciile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poștale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la </w:t>
      </w:r>
      <w:proofErr w:type="spellStart"/>
      <w:proofErr w:type="gram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adresa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r>
        <w:rPr>
          <w:rFonts w:ascii="Arial" w:eastAsia="Times New Roman" w:hAnsi="Arial" w:cs="Arial"/>
          <w:color w:val="7A7A7A"/>
          <w:sz w:val="26"/>
          <w:szCs w:val="26"/>
        </w:rPr>
        <w:t xml:space="preserve"> Certeze</w:t>
      </w:r>
      <w:proofErr w:type="gramEnd"/>
      <w:r>
        <w:rPr>
          <w:rFonts w:ascii="Arial" w:eastAsia="Times New Roman" w:hAnsi="Arial" w:cs="Arial"/>
          <w:color w:val="7A7A7A"/>
          <w:sz w:val="26"/>
          <w:szCs w:val="26"/>
        </w:rPr>
        <w:t xml:space="preserve"> , </w:t>
      </w:r>
      <w:proofErr w:type="spellStart"/>
      <w:r>
        <w:rPr>
          <w:rFonts w:ascii="Arial" w:eastAsia="Times New Roman" w:hAnsi="Arial" w:cs="Arial"/>
          <w:color w:val="7A7A7A"/>
          <w:sz w:val="26"/>
          <w:szCs w:val="26"/>
        </w:rPr>
        <w:t>str</w:t>
      </w:r>
      <w:proofErr w:type="spellEnd"/>
      <w:r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color w:val="7A7A7A"/>
          <w:sz w:val="26"/>
          <w:szCs w:val="26"/>
        </w:rPr>
        <w:t>Principala</w:t>
      </w:r>
      <w:proofErr w:type="spellEnd"/>
      <w:r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color w:val="7A7A7A"/>
          <w:sz w:val="26"/>
          <w:szCs w:val="26"/>
        </w:rPr>
        <w:t>nr</w:t>
      </w:r>
      <w:proofErr w:type="spellEnd"/>
      <w:r>
        <w:rPr>
          <w:rFonts w:ascii="Arial" w:eastAsia="Times New Roman" w:hAnsi="Arial" w:cs="Arial"/>
          <w:color w:val="7A7A7A"/>
          <w:sz w:val="26"/>
          <w:szCs w:val="26"/>
        </w:rPr>
        <w:t xml:space="preserve"> 285</w:t>
      </w:r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Județ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color w:val="7A7A7A"/>
          <w:sz w:val="26"/>
          <w:szCs w:val="26"/>
        </w:rPr>
        <w:t>Satu</w:t>
      </w:r>
      <w:proofErr w:type="spellEnd"/>
      <w:r>
        <w:rPr>
          <w:rFonts w:ascii="Arial" w:eastAsia="Times New Roman" w:hAnsi="Arial" w:cs="Arial"/>
          <w:color w:val="7A7A7A"/>
          <w:sz w:val="26"/>
          <w:szCs w:val="26"/>
        </w:rPr>
        <w:t xml:space="preserve"> Mare</w:t>
      </w:r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plic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închis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care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va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fi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înscrisă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mențiunea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Raportare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privind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încălcări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ale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legii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.</w:t>
      </w:r>
    </w:p>
    <w:p w:rsidR="00147F97" w:rsidRDefault="00147F97" w:rsidP="00CC23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>În</w:t>
      </w:r>
      <w:proofErr w:type="spellEnd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 xml:space="preserve"> format electronic</w:t>
      </w:r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 la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adresa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hyperlink r:id="rId5" w:history="1">
        <w:r w:rsidRPr="00CF6019">
          <w:rPr>
            <w:rStyle w:val="Hyperlink"/>
            <w:rFonts w:ascii="Arial" w:eastAsia="Times New Roman" w:hAnsi="Arial" w:cs="Arial"/>
            <w:sz w:val="26"/>
            <w:szCs w:val="26"/>
          </w:rPr>
          <w:t>certezeprimaria@yahoo.com</w:t>
        </w:r>
      </w:hyperlink>
    </w:p>
    <w:p w:rsidR="00147F97" w:rsidRPr="00147F97" w:rsidRDefault="00147F97" w:rsidP="00CC23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6"/>
          <w:szCs w:val="26"/>
        </w:rPr>
      </w:pPr>
      <w:r w:rsidRPr="00147F97">
        <w:rPr>
          <w:rFonts w:ascii="Arial" w:eastAsia="Times New Roman" w:hAnsi="Arial" w:cs="Arial"/>
          <w:b/>
          <w:color w:val="7A7A7A"/>
          <w:sz w:val="26"/>
          <w:szCs w:val="26"/>
        </w:rPr>
        <w:t>V</w:t>
      </w:r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>erbal</w:t>
      </w:r>
      <w:r w:rsidRPr="00147F97">
        <w:rPr>
          <w:rFonts w:ascii="Arial" w:eastAsia="Times New Roman" w:hAnsi="Arial" w:cs="Arial"/>
          <w:color w:val="7A7A7A"/>
          <w:sz w:val="26"/>
          <w:szCs w:val="26"/>
        </w:rPr>
        <w:t>:</w:t>
      </w:r>
      <w:r w:rsidRPr="00147F97">
        <w:rPr>
          <w:rFonts w:ascii="Arial" w:eastAsia="Times New Roman" w:hAnsi="Arial" w:cs="Arial"/>
          <w:color w:val="7A7A7A"/>
          <w:sz w:val="26"/>
          <w:szCs w:val="26"/>
        </w:rPr>
        <w:br/>
        <w:t xml:space="preserve">–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prin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prezența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la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sediul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primăriei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(cu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programare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prealabilă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la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adresa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 </w:t>
      </w:r>
      <w:hyperlink r:id="rId6" w:history="1">
        <w:r w:rsidRPr="00CF6019">
          <w:rPr>
            <w:rStyle w:val="Hyperlink"/>
            <w:rFonts w:ascii="Arial" w:eastAsia="Times New Roman" w:hAnsi="Arial" w:cs="Arial"/>
            <w:sz w:val="26"/>
            <w:szCs w:val="26"/>
          </w:rPr>
          <w:t>certezeprimaria@yahoo.com</w:t>
        </w:r>
      </w:hyperlink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unde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va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fi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întocmit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Proces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-verbal de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consemnare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a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raportării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avertizorului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interes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public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și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semnarea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de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către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acesta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;</w:t>
      </w:r>
    </w:p>
    <w:p w:rsidR="00147F97" w:rsidRPr="00147F97" w:rsidRDefault="00147F97" w:rsidP="00147F9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>Raportarea</w:t>
      </w:r>
      <w:proofErr w:type="spellEnd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>externă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 (Cap. IV din L 361/2022)</w:t>
      </w:r>
    </w:p>
    <w:p w:rsidR="00147F97" w:rsidRPr="00147F97" w:rsidRDefault="00147F97" w:rsidP="00147F9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Autorități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competente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proofErr w:type="gram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să</w:t>
      </w:r>
      <w:proofErr w:type="spellEnd"/>
      <w:proofErr w:type="gram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primească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raportări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privind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încălcări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ale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legii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sunt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:</w:t>
      </w:r>
    </w:p>
    <w:p w:rsidR="00147F97" w:rsidRPr="00147F97" w:rsidRDefault="00147F97" w:rsidP="00147F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autoritățile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și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instituțiile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publice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care,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potrivit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dispozițiilor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legale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speciale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primesc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şi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soluționează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raportări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referitoare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la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încălcări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ale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legii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domeniul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lor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de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competentă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(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pentru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mai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multe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detalii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a se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vedea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Cap. IV din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Legea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nr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. 361/2022);</w:t>
      </w:r>
    </w:p>
    <w:p w:rsidR="00147F97" w:rsidRPr="00147F97" w:rsidRDefault="00147F97" w:rsidP="00147F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Agenția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Națională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de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Integritate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Informații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generale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–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Avertizori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interes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public;</w:t>
      </w:r>
    </w:p>
    <w:p w:rsidR="00147F97" w:rsidRPr="00147F97" w:rsidRDefault="00147F97" w:rsidP="00147F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proofErr w:type="gram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alte</w:t>
      </w:r>
      <w:proofErr w:type="spellEnd"/>
      <w:proofErr w:type="gram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autorități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și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instituții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publice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cărora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ANI le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transmite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raportările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spre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competentă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soluționare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.</w:t>
      </w:r>
    </w:p>
    <w:p w:rsidR="00147F97" w:rsidRPr="00147F97" w:rsidRDefault="00147F97" w:rsidP="00147F9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>Condițiile</w:t>
      </w:r>
      <w:proofErr w:type="spellEnd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>instituite</w:t>
      </w:r>
      <w:proofErr w:type="spellEnd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 xml:space="preserve"> de </w:t>
      </w:r>
      <w:proofErr w:type="spellStart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>lege</w:t>
      </w:r>
      <w:proofErr w:type="spellEnd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>pentru</w:t>
      </w:r>
      <w:proofErr w:type="spellEnd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 xml:space="preserve"> a </w:t>
      </w:r>
      <w:proofErr w:type="spellStart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>beneficia</w:t>
      </w:r>
      <w:proofErr w:type="spellEnd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 xml:space="preserve"> de </w:t>
      </w:r>
      <w:proofErr w:type="spellStart"/>
      <w:r w:rsidRPr="00147F97">
        <w:rPr>
          <w:rFonts w:ascii="Arial" w:eastAsia="Times New Roman" w:hAnsi="Arial" w:cs="Arial"/>
          <w:b/>
          <w:bCs/>
          <w:color w:val="7A7A7A"/>
          <w:sz w:val="26"/>
          <w:szCs w:val="26"/>
        </w:rPr>
        <w:t>protecție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 (Art.20 din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Legea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361/2022)</w:t>
      </w:r>
    </w:p>
    <w:p w:rsidR="00147F97" w:rsidRPr="00147F97" w:rsidRDefault="00147F97" w:rsidP="00147F9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Pentru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a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beneficia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de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măsurile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de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protecție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avertizorul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interes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public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trebuie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proofErr w:type="gram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să</w:t>
      </w:r>
      <w:proofErr w:type="spellEnd"/>
      <w:proofErr w:type="gram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întrunească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cumulativ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următoarele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condiții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:</w:t>
      </w:r>
    </w:p>
    <w:p w:rsidR="00147F97" w:rsidRPr="00147F97" w:rsidRDefault="00147F97" w:rsidP="00147F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proofErr w:type="gram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să</w:t>
      </w:r>
      <w:proofErr w:type="spellEnd"/>
      <w:proofErr w:type="gram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fie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una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dintre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persoanele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care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efectuează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raportări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potrivit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prevederilor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art. </w:t>
      </w:r>
      <w:proofErr w:type="gram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2</w:t>
      </w:r>
      <w:proofErr w:type="gram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alin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. (1) </w:t>
      </w:r>
      <w:proofErr w:type="gram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din</w:t>
      </w:r>
      <w:proofErr w:type="gram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Legea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nr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. 361/2022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și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care a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obținut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informații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referitoare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la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încălcări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ale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legii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într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-un context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profesional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;</w:t>
      </w:r>
    </w:p>
    <w:p w:rsidR="00147F97" w:rsidRPr="00147F97" w:rsidRDefault="00147F97" w:rsidP="00147F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fi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avut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motive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întemeiate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creadă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că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informațiile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referitoare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la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încălcările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raportate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erau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adevărate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la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momentul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raportării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;</w:t>
      </w:r>
    </w:p>
    <w:p w:rsidR="00147F97" w:rsidRPr="00147F97" w:rsidRDefault="00147F97" w:rsidP="00147F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6"/>
          <w:szCs w:val="26"/>
        </w:rPr>
      </w:pPr>
      <w:proofErr w:type="spellStart"/>
      <w:proofErr w:type="gram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să</w:t>
      </w:r>
      <w:proofErr w:type="spellEnd"/>
      <w:proofErr w:type="gram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fi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efectuat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o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raportare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internă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, o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raportare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externă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sau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o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divulgare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 xml:space="preserve"> </w:t>
      </w:r>
      <w:proofErr w:type="spellStart"/>
      <w:r w:rsidRPr="00147F97">
        <w:rPr>
          <w:rFonts w:ascii="Arial" w:eastAsia="Times New Roman" w:hAnsi="Arial" w:cs="Arial"/>
          <w:color w:val="7A7A7A"/>
          <w:sz w:val="26"/>
          <w:szCs w:val="26"/>
        </w:rPr>
        <w:t>publică</w:t>
      </w:r>
      <w:proofErr w:type="spellEnd"/>
      <w:r w:rsidRPr="00147F97">
        <w:rPr>
          <w:rFonts w:ascii="Arial" w:eastAsia="Times New Roman" w:hAnsi="Arial" w:cs="Arial"/>
          <w:color w:val="7A7A7A"/>
          <w:sz w:val="26"/>
          <w:szCs w:val="26"/>
        </w:rPr>
        <w:t>.</w:t>
      </w:r>
    </w:p>
    <w:sectPr w:rsidR="00147F97" w:rsidRPr="00147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E0178"/>
    <w:multiLevelType w:val="multilevel"/>
    <w:tmpl w:val="181C5D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67DBF"/>
    <w:multiLevelType w:val="multilevel"/>
    <w:tmpl w:val="A42E13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71B99"/>
    <w:multiLevelType w:val="multilevel"/>
    <w:tmpl w:val="F21EF1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67BD8"/>
    <w:multiLevelType w:val="multilevel"/>
    <w:tmpl w:val="C46E66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241907"/>
    <w:multiLevelType w:val="multilevel"/>
    <w:tmpl w:val="BC545D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97"/>
    <w:rsid w:val="00147F97"/>
    <w:rsid w:val="0016741A"/>
    <w:rsid w:val="001C7C6A"/>
    <w:rsid w:val="006D62C0"/>
    <w:rsid w:val="00952BE1"/>
    <w:rsid w:val="00E1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1C0D"/>
  <w15:chartTrackingRefBased/>
  <w15:docId w15:val="{7A7052A2-E4CA-44CB-BDF6-75D583C6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7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7F97"/>
    <w:rPr>
      <w:b/>
      <w:bCs/>
    </w:rPr>
  </w:style>
  <w:style w:type="character" w:styleId="Hyperlink">
    <w:name w:val="Hyperlink"/>
    <w:basedOn w:val="DefaultParagraphFont"/>
    <w:uiPriority w:val="99"/>
    <w:unhideWhenUsed/>
    <w:rsid w:val="00147F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rtezeprimaria@yahoo.com" TargetMode="External"/><Relationship Id="rId5" Type="http://schemas.openxmlformats.org/officeDocument/2006/relationships/hyperlink" Target="mailto:certezeprimari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Certeze</dc:creator>
  <cp:keywords/>
  <dc:description/>
  <cp:lastModifiedBy>Certeze</cp:lastModifiedBy>
  <cp:revision>1</cp:revision>
  <dcterms:created xsi:type="dcterms:W3CDTF">2026-01-20T09:20:00Z</dcterms:created>
  <dcterms:modified xsi:type="dcterms:W3CDTF">2026-01-20T09:26:00Z</dcterms:modified>
</cp:coreProperties>
</file>